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85" w:rsidRPr="00A70E8B" w:rsidRDefault="00971385" w:rsidP="00971385">
      <w:pPr>
        <w:shd w:val="clear" w:color="auto" w:fill="FFFFFF"/>
        <w:spacing w:line="360" w:lineRule="auto"/>
        <w:rPr>
          <w:rStyle w:val="CitaHTML"/>
          <w:rFonts w:ascii="Arial" w:hAnsi="Arial" w:cs="Arial"/>
          <w:i w:val="0"/>
          <w:iCs w:val="0"/>
          <w:color w:val="E36C0A" w:themeColor="accent6" w:themeShade="BF"/>
          <w:sz w:val="24"/>
          <w:szCs w:val="24"/>
        </w:rPr>
      </w:pPr>
      <w:r w:rsidRPr="00A70E8B">
        <w:rPr>
          <w:rStyle w:val="CitaHTML"/>
          <w:rFonts w:ascii="Arial" w:hAnsi="Arial" w:cs="Arial"/>
          <w:i w:val="0"/>
          <w:iCs w:val="0"/>
          <w:color w:val="E36C0A" w:themeColor="accent6" w:themeShade="BF"/>
          <w:sz w:val="24"/>
          <w:szCs w:val="24"/>
        </w:rPr>
        <w:t xml:space="preserve">Naranjo, M. (2009). Motivación: Perspectivas teóricas y algunas consideraciones de su importancia en el ámbito educativo. Recuperado el 13 de noviembre de 2016 desde </w:t>
      </w:r>
      <w:hyperlink r:id="rId4" w:history="1">
        <w:r w:rsidRPr="00A70E8B">
          <w:rPr>
            <w:rStyle w:val="Hipervnculo"/>
            <w:rFonts w:ascii="Arial" w:hAnsi="Arial" w:cs="Arial"/>
            <w:sz w:val="24"/>
            <w:szCs w:val="24"/>
          </w:rPr>
          <w:t>http://revistas.ucr.ac.cr/index.php/educacion/article/viewFile/510/525</w:t>
        </w:r>
      </w:hyperlink>
    </w:p>
    <w:p w:rsidR="00E929B1" w:rsidRDefault="00E929B1"/>
    <w:sectPr w:rsidR="00E929B1" w:rsidSect="00E92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71385"/>
    <w:rsid w:val="00971385"/>
    <w:rsid w:val="00E9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8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71385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9713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vistas.ucr.ac.cr/index.php/educacion/article/viewFile/510/5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2016-12-05T16:01:00Z</dcterms:created>
  <dcterms:modified xsi:type="dcterms:W3CDTF">2016-12-05T16:01:00Z</dcterms:modified>
</cp:coreProperties>
</file>